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宋体" w:hAnsi="宋体"/>
          <w:color w:val="000000"/>
          <w:kern w:val="0"/>
          <w:sz w:val="28"/>
        </w:rPr>
      </w:pPr>
      <w:r>
        <w:rPr>
          <w:rFonts w:hint="eastAsia" w:ascii="宋体" w:hAnsi="宋体"/>
          <w:color w:val="000000"/>
          <w:kern w:val="0"/>
          <w:sz w:val="28"/>
        </w:rPr>
        <w:t>附件1：</w:t>
      </w:r>
    </w:p>
    <w:p>
      <w:pPr>
        <w:widowControl/>
        <w:spacing w:line="520" w:lineRule="exact"/>
        <w:jc w:val="left"/>
        <w:rPr>
          <w:rFonts w:ascii="宋体" w:hAnsi="宋体"/>
          <w:color w:val="000000"/>
          <w:kern w:val="0"/>
          <w:sz w:val="28"/>
        </w:rPr>
      </w:pPr>
    </w:p>
    <w:p>
      <w:pPr>
        <w:widowControl/>
        <w:spacing w:line="520" w:lineRule="exact"/>
        <w:jc w:val="center"/>
        <w:rPr>
          <w:rFonts w:ascii="宋体" w:hAnsi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color w:val="000000"/>
          <w:kern w:val="0"/>
          <w:sz w:val="32"/>
          <w:szCs w:val="32"/>
        </w:rPr>
        <w:t>《南京城市国际化蓝皮书</w:t>
      </w:r>
      <w:r>
        <w:rPr>
          <w:rFonts w:hint="eastAsia" w:ascii="宋体" w:hAnsi="宋体"/>
          <w:color w:val="000000"/>
          <w:spacing w:val="4"/>
          <w:kern w:val="0"/>
          <w:sz w:val="28"/>
        </w:rPr>
        <w:t>（2018）</w:t>
      </w:r>
      <w:r>
        <w:rPr>
          <w:rFonts w:hint="eastAsia" w:ascii="宋体" w:hAnsi="宋体"/>
          <w:b/>
          <w:color w:val="000000"/>
          <w:kern w:val="0"/>
          <w:sz w:val="32"/>
          <w:szCs w:val="32"/>
        </w:rPr>
        <w:t>》参考选题</w:t>
      </w:r>
    </w:p>
    <w:p>
      <w:pPr>
        <w:widowControl/>
        <w:spacing w:line="520" w:lineRule="exact"/>
        <w:jc w:val="left"/>
        <w:rPr>
          <w:rFonts w:ascii="宋体" w:hAnsi="宋体"/>
          <w:kern w:val="0"/>
          <w:sz w:val="28"/>
        </w:rPr>
      </w:pPr>
    </w:p>
    <w:p>
      <w:pPr>
        <w:pStyle w:val="4"/>
        <w:numPr>
          <w:ilvl w:val="0"/>
          <w:numId w:val="1"/>
        </w:numPr>
        <w:spacing w:line="220" w:lineRule="atLeast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南京建设具有全球影响力的创新名城路径及对策</w:t>
      </w:r>
    </w:p>
    <w:p>
      <w:pPr>
        <w:pStyle w:val="4"/>
        <w:numPr>
          <w:ilvl w:val="0"/>
          <w:numId w:val="1"/>
        </w:numPr>
        <w:spacing w:line="220" w:lineRule="atLeast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南京城市国际化发展战略研究</w:t>
      </w:r>
    </w:p>
    <w:p>
      <w:pPr>
        <w:pStyle w:val="4"/>
        <w:numPr>
          <w:ilvl w:val="0"/>
          <w:numId w:val="1"/>
        </w:numPr>
        <w:spacing w:line="220" w:lineRule="atLeast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南京城市国际化对标找差及其发展对策</w:t>
      </w:r>
    </w:p>
    <w:p>
      <w:pPr>
        <w:pStyle w:val="4"/>
        <w:numPr>
          <w:ilvl w:val="0"/>
          <w:numId w:val="1"/>
        </w:numPr>
        <w:spacing w:line="220" w:lineRule="atLeast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南京开放型经济发展新格局研究</w:t>
      </w:r>
    </w:p>
    <w:p>
      <w:pPr>
        <w:pStyle w:val="4"/>
        <w:numPr>
          <w:ilvl w:val="0"/>
          <w:numId w:val="1"/>
        </w:numPr>
        <w:spacing w:line="220" w:lineRule="atLeast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“一带一路”与南京城市国际化发展</w:t>
      </w:r>
    </w:p>
    <w:p>
      <w:pPr>
        <w:pStyle w:val="4"/>
        <w:numPr>
          <w:ilvl w:val="0"/>
          <w:numId w:val="1"/>
        </w:numPr>
        <w:spacing w:line="220" w:lineRule="atLeast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南京产业国际竞争力及价值链地位提升研究</w:t>
      </w:r>
    </w:p>
    <w:p>
      <w:pPr>
        <w:pStyle w:val="4"/>
        <w:numPr>
          <w:ilvl w:val="0"/>
          <w:numId w:val="1"/>
        </w:numPr>
        <w:spacing w:line="220" w:lineRule="atLeast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南京服务贸易与城市国际化发展</w:t>
      </w:r>
    </w:p>
    <w:p>
      <w:pPr>
        <w:pStyle w:val="4"/>
        <w:numPr>
          <w:ilvl w:val="0"/>
          <w:numId w:val="1"/>
        </w:numPr>
        <w:spacing w:line="220" w:lineRule="atLeast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南京科技创新国际化合作现状、对策及展望</w:t>
      </w:r>
    </w:p>
    <w:p>
      <w:pPr>
        <w:pStyle w:val="4"/>
        <w:numPr>
          <w:ilvl w:val="0"/>
          <w:numId w:val="1"/>
        </w:numPr>
        <w:spacing w:line="220" w:lineRule="atLeast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南京新经济发展的国际经验借鉴及其对策</w:t>
      </w:r>
    </w:p>
    <w:p>
      <w:pPr>
        <w:pStyle w:val="4"/>
        <w:numPr>
          <w:ilvl w:val="0"/>
          <w:numId w:val="1"/>
        </w:numPr>
        <w:spacing w:line="220" w:lineRule="atLeast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南京企业国际化发展现状、对策及展望</w:t>
      </w:r>
    </w:p>
    <w:p>
      <w:pPr>
        <w:pStyle w:val="4"/>
        <w:numPr>
          <w:ilvl w:val="0"/>
          <w:numId w:val="1"/>
        </w:numPr>
        <w:spacing w:line="220" w:lineRule="atLeast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南京文化国际交流与合作现状、对策及展望</w:t>
      </w:r>
    </w:p>
    <w:p>
      <w:pPr>
        <w:pStyle w:val="4"/>
        <w:numPr>
          <w:ilvl w:val="0"/>
          <w:numId w:val="1"/>
        </w:numPr>
        <w:spacing w:line="220" w:lineRule="atLeast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南京国际化创新平台建设现状、对策及展望</w:t>
      </w:r>
    </w:p>
    <w:p>
      <w:pPr>
        <w:pStyle w:val="4"/>
        <w:numPr>
          <w:ilvl w:val="0"/>
          <w:numId w:val="1"/>
        </w:numPr>
        <w:spacing w:line="220" w:lineRule="atLeast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南京国际化创新人才引进体制机制现状、对策及展望</w:t>
      </w:r>
    </w:p>
    <w:p>
      <w:pPr>
        <w:pStyle w:val="4"/>
        <w:numPr>
          <w:ilvl w:val="0"/>
          <w:numId w:val="1"/>
        </w:numPr>
        <w:spacing w:line="220" w:lineRule="atLeast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南京国际化公共服务供给的现状、对策及展望</w:t>
      </w:r>
    </w:p>
    <w:p>
      <w:pPr>
        <w:pStyle w:val="4"/>
        <w:numPr>
          <w:ilvl w:val="0"/>
          <w:numId w:val="1"/>
        </w:numPr>
        <w:spacing w:line="220" w:lineRule="atLeast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南京教育国际化发展现状、对策及展望</w:t>
      </w:r>
    </w:p>
    <w:p>
      <w:pPr>
        <w:pStyle w:val="4"/>
        <w:numPr>
          <w:ilvl w:val="0"/>
          <w:numId w:val="1"/>
        </w:numPr>
        <w:spacing w:line="220" w:lineRule="atLeast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南京城市旅游国际合作的现状、对策及展望</w:t>
      </w:r>
    </w:p>
    <w:p>
      <w:pPr>
        <w:pStyle w:val="4"/>
        <w:numPr>
          <w:ilvl w:val="0"/>
          <w:numId w:val="1"/>
        </w:numPr>
        <w:spacing w:line="220" w:lineRule="atLeast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南京体育国际化发展现状、对策及展望</w:t>
      </w:r>
    </w:p>
    <w:p>
      <w:pPr>
        <w:pStyle w:val="4"/>
        <w:numPr>
          <w:ilvl w:val="0"/>
          <w:numId w:val="1"/>
        </w:numPr>
        <w:spacing w:line="220" w:lineRule="atLeast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南京国际化街区、社区及国际化生活环境建设现状、对策及展望</w:t>
      </w:r>
    </w:p>
    <w:p>
      <w:pPr>
        <w:pStyle w:val="4"/>
        <w:numPr>
          <w:ilvl w:val="0"/>
          <w:numId w:val="1"/>
        </w:numPr>
        <w:spacing w:line="220" w:lineRule="atLeast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南京城市形象及品牌国际化塑造现状、对策及展望</w:t>
      </w:r>
    </w:p>
    <w:p>
      <w:pPr>
        <w:pStyle w:val="4"/>
        <w:numPr>
          <w:ilvl w:val="0"/>
          <w:numId w:val="1"/>
        </w:numPr>
        <w:spacing w:line="220" w:lineRule="atLeast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南京综合交通枢纽城市建设与国际化发展</w:t>
      </w:r>
    </w:p>
    <w:p>
      <w:pPr>
        <w:pStyle w:val="4"/>
        <w:numPr>
          <w:ilvl w:val="0"/>
          <w:numId w:val="1"/>
        </w:numPr>
        <w:spacing w:line="220" w:lineRule="atLeast"/>
        <w:ind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南京智库发展的国际化合作现状、对策及展望</w:t>
      </w:r>
    </w:p>
    <w:p>
      <w:pPr>
        <w:widowControl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/>
          <w:color w:val="000000"/>
          <w:kern w:val="0"/>
          <w:sz w:val="28"/>
          <w:szCs w:val="28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B3BB2"/>
    <w:multiLevelType w:val="multilevel"/>
    <w:tmpl w:val="5DAB3BB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E1990"/>
    <w:rsid w:val="0F8E199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theme="minorBidi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l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2018-11-05T07:59:00Z</dcterms:created>
  <dc:creator>skl</dc:creator>
  <cp:lastModifiedBy>skl</cp:lastModifiedBy>
  <dcterms:modified xsi:type="dcterms:W3CDTF">2018-11-05T07:59:41Z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