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南京市社会科学界联合会</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组织开展马克思列宁主义、毛泽东思想、邓小平理论、“三个代表”重要思想、科学发展观、习近平新时代中国特色社会主义思想理论研究；经济社会文化发展中的重大课题研究；组织和参与各种学术活动，开展对外学术交流；向市委、市政府报送研究成果和对策性建议，受市政府委托承办全市社科优秀成果评奖工作；指导和管理所属社科类学术团体的业务工作；组织和推动全市社科知识普及工作，并提供相关的咨询服务；承办市委、市政府交办的其他事项。</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办公室、科研管理处、学会工作处、社会科学普及工作处、机关党委（人事处）、经济发展研究所、社会发展研究所、文化发展研究所、城市创新发展研究所。</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2025年，南京市社科联（院）在理论阐释、资政研究、社团管理、社科普及等方面取得了新成绩，为推进中国式现代化南京新实践作出积极贡献。</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理论研究持续提能见效。做好党的创新理论研究阐释，在《光明日报》《经济日报》等主流报刊媒体发表数十篇理论文章，在中宣部2025文化强国建设高峰论坛等高端研讨活动中作成果交流。推进品牌期刊学术高地建设，《南京社会科学》复合影响因子创历史新高，期刊影响力指数在全国648家同类期刊中排名第三，市社科院成为全国第一家拥有三种CSSCI期刊（集刊）的市级社科院。</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科研成果实现量质齐升。申报获批国家、省市等纵向课题14项，结项课题11项，科研成果15项获奖。出版学术著作6本，发表学术论文28篇。2025年4月发布数据显示，2024年度学术成果转载指数位列全国市级社科联（院）第一。推荐成果获省哲社奖一、二、三等奖共19项，获奖层次和总数在全省设区市中位列第一。</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资政建言作用发挥充分。提交调研、资政报告68篇，41篇获省市领导批示，其中省部级领导批示29篇，全年编撰《资政专报》30期、《南京智库成果专报》15期。编撰出版南京市经济社会发展系列蓝皮书4本，举办“南京经济社会发展十人谈”系列研讨活动。智库成果获2025CTTI智库建设标杆案例、示范案例各1项，优秀成果特等奖、一等奖、二等奖共4项。</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社科组织指导更加有力。加强学术社团常态化管理、加大动态化抽查，优化社团党建“片区化”管理，由6大党建片区调整为4大党建片区，分片区指导开展主题党建活动。举办市属社科社团党建工作负责人培训班、秘书长培训班和《习近平谈治国理政》第五卷学习辅导暨年度党建工作交流会，进一步提升党建工作水平和自身管理能力。建立班子成员联系基层社科联和联系重点社团工作机制。培育成立南京市廉政文化研究会。</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社科普及效能持续放大。深化南京社区科普大学建设，覆盖11个行政区和江北新区，发布首批网络课程15集。推动社科知识走进大众生活，启动“南京社科书系”普及之窗阵地建设，推出“智说人文南京”AI线上社科普及产品，扩宽“南京社科普及”抖音账号、社科普及基地、《大观南京》丛书等线上线下服务广度，举办“城贤讲坛”“阅美南京”等品牌活动。组织市第二十二届社科普及宣传周，优选20项重点项目予以推广。</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哲社创新工程取得实效。“南京学”研究学理化、体系化取得突破，编撰出版《南京学概论》，为中国地方学构建自主知识体系提供可复制、可推广的“南京样本”。“南京长江文化研究院”成为“一带一路”国际智库合作委员会成员单位，连续三年编撰出版《长江文化蓝皮书》，获全国第十六届“优秀新皮书奖”。联合组建成立成贤（未来城市）实验室，深度参与“新一代信息通信技术低空经济无人配送”及“分布式能源光伏发电”等标杆项目。</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南京市社会科学界联合会</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南京市社会科学界联合会</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2,892.89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1,943.68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10.15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46.66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327.42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767.61</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2,939.56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3,048.86</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287.57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178.27</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3,227.12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3,227.12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2,939.56</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2,892.89</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46.66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1,834.38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1,787.72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46.66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社会科学</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1,822.49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1,775.83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46.66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2060601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社会科学研究机构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1,775.83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1,775.83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社会科学研究</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46.66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46.66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11.84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11.84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文化旅游体育与传媒支出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20701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文化和旅游</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2070199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其他文化和旅游支出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327.42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327.42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327.42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327.42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68.88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68.88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172.36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172.36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86.18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86.18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767.61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767.61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767.61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767.61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201.14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201.14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566.47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566.47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3,048.86</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2,796.12</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252.74</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1,943.68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1,701.09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242.59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社会科学</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1,931.79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1,689.25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242.54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2060601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社会科学研究机构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1,843.32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1,600.78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242.54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社会科学研究</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88.47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88.47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11.84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11.84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11.84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11.84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文化旅游体育与传媒支出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20701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文化和旅游</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2070199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其他文化和旅游支出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327.42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327.42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327.42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327.42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68.88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68.88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172.36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172.36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86.18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86.18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767.61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767.61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767.61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767.61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201.14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201.14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566.47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566.47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2,892.89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1,855.20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1,855.20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10.15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10.15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327.42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327.42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767.61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767.61</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2,892.89</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2,960.38</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2,960.38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113.37</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45.88</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45.88</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113.37</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3,006.26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3,006.26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3,006.26</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2,960.38</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2,707.64</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252.74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1,855.20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1,612.62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242.59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社会科学</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1,843.32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1,600.78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242.54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2060601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社会科学研究机构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1,843.32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1,600.78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242.54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11.84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11.84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11.84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11.84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文化旅游体育与传媒支出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20701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文化和旅游</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2070199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其他文化和旅游支出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327.42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327.42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327.42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327.42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68.88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68.88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172.36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172.36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86.18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86.18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767.61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767.61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767.61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767.61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201.14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201.14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566.47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566.47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2,707.64</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2,584.17</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123.47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2,345.71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2,345.71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422.03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422.03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532.43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532.43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316.56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316.56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512.31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512.31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176.30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176.30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88.15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88.15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63.15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63.15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201.14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201.14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15.20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5.92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5.92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123.47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123.47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9.31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11.12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5.87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2.43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2.34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0.85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4.22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7.39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7.39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0.18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0.18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38.00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6.46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238.46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238.46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228.23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228.23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2,960.38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2,707.64</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252.74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1,855.20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1,612.62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242.59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社会科学</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1,843.32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1,600.78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242.54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2060601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社会科学研究机构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1,843.32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1,600.78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242.54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11.84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11.84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11.84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11.84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文化旅游体育与传媒支出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20701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文化和旅游</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2070199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其他文化和旅游支出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327.42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327.42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327.42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327.42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68.88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68.88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172.36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172.36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86.18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86.18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767.61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767.61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767.61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767.61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201.14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201.14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566.47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566.47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2,707.64</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2,584.17</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123.47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2,345.71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2,345.71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422.03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422.03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532.43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532.43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316.56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316.56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512.31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512.31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176.30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176.30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88.15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88.15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63.15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63.15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201.14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201.14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15.20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5.92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123.47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123.47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9.31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11.12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5.87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2.34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0.85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4.22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7.39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7.39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0.18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38.00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6.46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238.46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238.46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228.23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228.23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9.04</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2.88</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2.88</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6.16</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11.60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17.80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1.18</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0.33</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0.33</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0.85</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3.87</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8.69</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7</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35</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3</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200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8</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450</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123.47</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123.47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9.31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11.12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5.87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5.09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0.36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2.43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2.34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0.85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4.22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7.39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0.18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0.33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38.00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6.46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南京市社会科学界联合会</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222.94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6.54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216.39</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2025年度收入、支出决算总计3,227.12万元。与上年相比，收、支总计各增加60.46万元，增长1.91%。其中：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（一）收入决算总计3,227.12万元。包括：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1.本年收入决算合计2,939.56万元。与上年相比，增加23.34万元，增长0.8%，变动原因：本年度的增人增资、事业单位专项绩效工资、新进人员以及博士工作站和文化人才项目经费的增加。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3.年初结转和结余287.57万元。与上年相比，增加37.12万元，增长14.82%，变动原因：代管资金账户中课题费用的增加。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（二）支出决算总计3,227.12万元。包括：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1.本年支出决算合计3,048.86万元。与上年相比，增加198.09万元，增长6.95%，变动原因：代管资金账户中课题费用支出增加、新进人员的工资支出以及博士工作站和文化人才项目的经费支出等。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3.年末结转和结余178.27万元。结转和结余事项：代管资金账户余额以及事业单位人员预留的部分奖励性绩效。与上年相比，减少137.63万元，减少43.57%，变动原因：代管资金账户中课题支出增加。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2,939.56万元，其中：财政拨款收入2,892.89万元，占98.41%；上级补助收入0万元，占0%；财政专户管理教育收费0万元，占0%；事业收入（不含专户管理教育收费）0万元，占0%；经营收入0万元，占0%；附属单位上缴收入0万元，占0%；其他收入46.66万元，占1.59%。</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2025年度本年支出决算合计3,048.86万元，其中：基本支出2,796.12万元，占91.71%；项目支出252.74万元，占8.29%；上缴上级支出0万元，占0%；经营支出0万元，占0%；对附属单位补助支出0万元，占0%。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3,006.26万元。与上年相比，收、支总计各增加76.45万元，增长2.61%，变动原因：本年度的增人增资、事业单位专项绩效工资、新进人员以及博士工作站和文化人才项目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2025年度财政拨款支出决算2,960.38万元，占本年支出合计的97.1%。与2025年度财政拨款支出年初预算2,707.93万元相比，完成年初预算的109.32%。其中：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1.科技条件与服务（款）其他科技条件与服务支出（项）。年初预算0万元，支出决算0.05万元，（年初预算数为0万元，无法计算完成比率）决算数与年初预算数的差异原因：信创追加的尾款。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2.社会科学（款）社会科学研究机构（项）。年初预算1,623.92万元，支出决算1,843.32万元，完成年初预算的113.51%。决算数与年初预算数的差异原因：正常调资、事业单位专项绩效工资以及新进人员工资增加。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3.其他科学技术支出（款）其他科学技术支出（项）。年初预算0万元，支出决算11.84万元，（年初预算数为0万元，无法计算完成比率）决算数与年初预算数的差异原因：代管资金账户课题经费的增加。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（二）文化旅游体育与传媒支出（类）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文化和旅游（款）其他文化和旅游支出（项）。年初预算0万元，支出决算10.15万元，（年初预算数为0万元，无法计算完成比率）决算数与年初预算数的差异原因：市委宣传部追加的博士工作站经费以及文化专项人才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1.行政事业单位养老支出（款）行政单位离退休（项）。年初预算69.22万元，支出决算68.88万元，完成年初预算的99.51%。决算数与年初预算数的差异原因：上下浮动在1%以内是合理性差异。</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2.行政事业单位养老支出（款）机关事业单位基本养老保险缴费支出（项）。年初预算172.36万元，支出决算172.36万元，完成年初预算的100%。决算数与年初预算数相同。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3.行政事业单位养老支出（款）机关事业单位职业年金缴费支出（项）。年初预算86.18万元，支出决算86.18万元，完成年初预算的100%。决算数与年初预算数相同。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1.住房改革支出（款）住房公积金（项）。年初预算189.78万元，支出决算201.14万元，完成年初预算的105.99%。决算数与年初预算数的差异原因：2025年7月进行了公积金的调整。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2.住房改革支出（款）提租补贴（项）。年初预算566.47万元，支出决算566.47万元，完成年初预算的100%。决算数与年初预算数相同。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2025年度财政拨款基本支出决算2,707.64万元，其中：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（一）人员经费2,584.17万元。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其他社会保障缴费、住房公积金、医疗费、其他工资福利支出、退休费、生活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（二）公用经费123.47万元。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主要包括：办公费、印刷费、邮电费、差旅费、维修（护）费、租赁费、会议费、培训费、公务接待费、劳务费、委托业务费、工会经费、福利费、公务用车运行维护费、其他交通费用、其他商品和服务支出。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2025年度一般公共预算财政拨款支出决算2,960.38万元。与上年相比，增加143.94万元，增长5.11%，变动原因：本年度的增人增资、事业单位专项绩效工资、新进人员以及博士工作站和文化人才项目经费的增加。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2025年度一般公共预算财政拨款基本支出决算2,707.64万元，其中：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（一）人员经费2,584.17万元。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绩效工资、机关事业单位基本养老保险缴费、职业年金缴费、职工基本医疗保险缴费、其他社会保障缴费、住房公积金、医疗费、其他工资福利支出、退休费、生活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（二）公用经费123.47万元。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主要包括：办公费、印刷费、邮电费、差旅费、维修（护）费、租赁费、会议费、培训费、公务接待费、劳务费、委托业务费、工会经费、福利费、公务用车运行维护费、其他交通费用、其他商品和服务支出。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1.18万元（其中：一般公共预算支出1.18万元；政府性基金预算支出0万元；国有资本经营预算支出0万元）。与上年相比，减少0.61万元，变动原因：秉承开源节流的原则，尽量减少会议以及招待费支出。其中，因公出国（境）费支出0万元，占“三公”经费的0%；公务用车购置及运行维护费支出0.33万元，占“三公”经费的27.97%；公务接待费支出0.85万元，占“三公”经费的72.03%。2025年度财政拨款“三公”经费支出预算9.04万元（其中：一般公共预算支出9.04万元；政府性基金预算支出0万元；国有资本经营预算支出0万元）。决算数与预算数的差异原因：招待费和车辆经费均进行了压缩。</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2.88万元（其中：一般公共预算支出2.88万元；政府性基金预算支出0万元；国有资本经营预算支出0万元），支出决算0.33万元（其中：一般公共预算支出0.33万元；政府性基金预算支出0万元；国有资本经营预算支出0万元），完成调整后预算的11.46%，决算数与预算数的差异原因：秉承节约的原则，减少了公车的使用率。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0.33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6.16万元（其中：一般公共预算支出6.16万元；政府性基金预算支出0万元；国有资本经营预算支出0万元），支出决算0.85万元（其中：一般公共预算支出0.85万元；政府性基金预算支出0万元；国有资本经营预算支出0万元），完成调整后预算的13.8%，决算数与预算数的差异原因：严格遵守相关制度规定，秉承开源节流原则，尽量减少公务接待次数以及降低接待标准。其中：国内公务接待支出0.85万元，接待7批次，35人次，开支内容：接待全国各地的社科联、社科院等科研机构来访；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11.6万元（其中：一般公共预算支出11.6万元；政府性基金预算支出0万元；国有资本经营预算支出0万元），支出决算3.87万元（其中：一般公共预算支出3.87万元；政府性基金预算支出0万元；国有资本经营预算支出0万元），完成调整后预算的33.36%，决算数与预算数的差异原因：严格遵守相关制度规定，压缩了会议日程以及规模，降低了会议标准。2025年度全年召开会议3个，参加会议200人次，开支内容：九届五次常委会、全委会以及各类工作会议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17.8万元（其中：一般公共预算支出17.8万元；政府性基金预算支出0万元；国有资本经营预算支出0万元），支出决算8.69万元（其中：一般公共预算支出8.69万元；政府性基金预算支出0万元；国有资本经营预算支出0万元），完成调整后预算的48.82%，决算数与预算数的差异原因：严格遵守相关制度规定，压缩了培训的日程以及规模，降低了相关标准。2025年度全年组织培训8个，组织培训450人次，开支内容：智库能力建设培训班、社团党建负责人培训、学会秘书长培训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123.47万元（其中：一般公共预算支出123.47万元；政府性基金预算支出0万元；国有资本经营预算支出0万元）。与上年相比，增加1.26万元，增长1.03%，变动原因：上下浮动在可控制内，属于运行经费的正常增长。</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222.94万元，其中：政府采购货物支出6.54万元、政府采购工程支出0万元、政府采购服务支出216.39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1辆，其中：副部(省)级及以上领导用车0辆、主要负责人用车0辆、机要通信用车1辆、应急保障用车0辆、执法执勤用车0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本单位共对上年度已实施完成的10个项目开展了绩效自评价，涉及财政性资金合计252.74万元；本单位共开展1项单位整体支出绩效自评价，涉及财政性资金合计3,227.12万元。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十九、科学技术支出(类)科技条件与服务(款)其他科技条件与服务支出(项)</w:t>
      </w:r>
      <w:r>
        <w:rPr>
          <w:b w:val="on"/>
          <w:rFonts w:ascii="仿宋" w:eastAsia="仿宋" w:hAnsi="仿宋" w:cs="仿宋"/>
          <w:u w:color="auto"/>
        </w:rPr>
        <w:t>：</w:t>
      </w:r>
      <w:r>
        <w:rPr>
          <w:rFonts w:hint="eastAsia" w:ascii="仿宋" w:hAnsi="仿宋" w:eastAsia="仿宋" w:cs="仿宋"/>
        </w:rPr>
        <w:t>反映除上述项目以外其他用于科技条件与服务方面的支出。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二十、科学技术支出(类)社会科学(款)社会科学研究机构(项)</w:t>
      </w:r>
      <w:r>
        <w:rPr>
          <w:b w:val="on"/>
          <w:rFonts w:ascii="仿宋" w:eastAsia="仿宋" w:hAnsi="仿宋" w:cs="仿宋"/>
          <w:u w:color="auto"/>
        </w:rPr>
        <w:t>：</w:t>
      </w:r>
      <w:r>
        <w:rPr>
          <w:rFonts w:hint="eastAsia" w:ascii="仿宋" w:hAnsi="仿宋" w:eastAsia="仿宋" w:cs="仿宋"/>
        </w:rPr>
        <w:t>反映各级社会科学院、中共中央所属社会科学研究机构、其他部门所属从事社会科学研究机构的基本支出。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二十一、科学技术支出(类)社会科学(款)社会科学研究(项)</w:t>
      </w:r>
      <w:r>
        <w:rPr>
          <w:b w:val="on"/>
          <w:rFonts w:ascii="仿宋" w:eastAsia="仿宋" w:hAnsi="仿宋" w:cs="仿宋"/>
          <w:u w:color="auto"/>
        </w:rPr>
        <w:t>：</w:t>
      </w:r>
      <w:r>
        <w:rPr>
          <w:rFonts w:hint="eastAsia" w:ascii="仿宋" w:hAnsi="仿宋" w:eastAsia="仿宋" w:cs="仿宋"/>
        </w:rPr>
        <w:t>反映除社科基金支出外的社会科学研究支出。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二十二、科学技术支出(类)其他科学技术支出(款)其他科学技术支出(项)</w:t>
      </w:r>
      <w:r>
        <w:rPr>
          <w:b w:val="on"/>
          <w:rFonts w:ascii="仿宋" w:eastAsia="仿宋" w:hAnsi="仿宋" w:cs="仿宋"/>
          <w:u w:color="auto"/>
        </w:rPr>
        <w:t>：</w:t>
      </w:r>
      <w:r>
        <w:rPr>
          <w:rFonts w:hint="eastAsia" w:ascii="仿宋" w:hAnsi="仿宋" w:eastAsia="仿宋" w:cs="仿宋"/>
        </w:rPr>
        <w:t>反映其他科学技术支出中除以上各项外用于科技方面的支出。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二十三、文化旅游体育与传媒支出(类)文化和旅游(款)其他文化和旅游支出(项)</w:t>
      </w:r>
      <w:r>
        <w:rPr>
          <w:b w:val="on"/>
          <w:rFonts w:ascii="仿宋" w:eastAsia="仿宋" w:hAnsi="仿宋" w:cs="仿宋"/>
          <w:u w:color="auto"/>
        </w:rPr>
        <w:t>：</w:t>
      </w:r>
      <w:r>
        <w:rPr>
          <w:rFonts w:hint="eastAsia" w:ascii="仿宋" w:hAnsi="仿宋" w:eastAsia="仿宋" w:cs="仿宋"/>
        </w:rPr>
        <w:t>反映除上述项目以外其他用于文化和旅游方面的支出。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南京市社会科学界联合会</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